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7" w:rsidRPr="00F92CEB" w:rsidRDefault="00AD5EA7" w:rsidP="00AD5EA7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AD5EA7" w:rsidRPr="00F92CEB" w:rsidRDefault="00AD5EA7" w:rsidP="00AD5EA7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AD5EA7" w:rsidRPr="00391B8D" w:rsidRDefault="00AD5EA7" w:rsidP="00AD5EA7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Pr="00C5660D">
        <w:rPr>
          <w:rFonts w:ascii="Times New Roman" w:hAnsi="Times New Roman"/>
          <w:sz w:val="24"/>
          <w:szCs w:val="24"/>
        </w:rPr>
        <w:t>t. j. Dz.U. 2023 poz. 344)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06.06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.2023r.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27.06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5EA7">
        <w:rPr>
          <w:rFonts w:ascii="Times New Roman" w:eastAsia="Times New Roman" w:hAnsi="Times New Roman"/>
          <w:sz w:val="24"/>
          <w:szCs w:val="24"/>
          <w:lang w:eastAsia="pl-PL"/>
        </w:rPr>
        <w:t xml:space="preserve">ul. Komuny Paryskiej 13 oraz ul. Legnickiej 38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 czerwca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</w:t>
      </w:r>
    </w:p>
    <w:p w:rsidR="00AD5EA7" w:rsidRPr="002F3BD5" w:rsidRDefault="00AD5EA7" w:rsidP="00AD5EA7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18.07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D5EA7" w:rsidRDefault="00AD5EA7" w:rsidP="00AD5EA7">
      <w:pPr>
        <w:tabs>
          <w:tab w:val="left" w:pos="9072"/>
        </w:tabs>
        <w:spacing w:after="0" w:line="120" w:lineRule="atLeast"/>
        <w:ind w:right="-567"/>
        <w:jc w:val="both"/>
      </w:pPr>
    </w:p>
    <w:p w:rsidR="00AD5EA7" w:rsidRPr="008C18FB" w:rsidRDefault="00AD5EA7" w:rsidP="00AD5EA7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AD5EA7" w:rsidRPr="004156D6" w:rsidRDefault="00AD5EA7" w:rsidP="00AD5EA7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 w:rsidSect="00AD5EA7">
      <w:pgSz w:w="11907" w:h="16839" w:code="9"/>
      <w:pgMar w:top="1418" w:right="1134" w:bottom="567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A7"/>
    <w:rsid w:val="003639F9"/>
    <w:rsid w:val="00984180"/>
    <w:rsid w:val="00AD5EA7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2023-06-05T08:14:00Z</dcterms:created>
  <dcterms:modified xsi:type="dcterms:W3CDTF">2023-06-05T08:16:00Z</dcterms:modified>
</cp:coreProperties>
</file>