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7" w:rsidRPr="00F92CEB" w:rsidRDefault="00287627" w:rsidP="00287627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287627" w:rsidRPr="00F92CEB" w:rsidRDefault="00287627" w:rsidP="00287627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287627" w:rsidRPr="00391B8D" w:rsidRDefault="00287627" w:rsidP="00287627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Pr="00C5660D">
        <w:rPr>
          <w:rFonts w:ascii="Times New Roman" w:hAnsi="Times New Roman"/>
          <w:sz w:val="24"/>
          <w:szCs w:val="24"/>
        </w:rPr>
        <w:t>t. j. Dz.U. 2023 poz. 344)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>Wydział Gospodarki Gruntami i Ochro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 Środowiska Urzędu Miejskiego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łoszeń tut. Urzędu w dniach od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6.06.2023r.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07.07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ul. Artura Grottgera 2,</w:t>
      </w:r>
      <w:r w:rsidRPr="00BA46A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Komuny Paryskiej 15, ul. Tkackiej</w:t>
      </w:r>
      <w:r w:rsidRPr="00BA46A1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klatce Grottgera 2)</w:t>
      </w:r>
      <w:r>
        <w:rPr>
          <w:rFonts w:ascii="Times New Roman" w:hAnsi="Times New Roman"/>
          <w:sz w:val="24"/>
          <w:szCs w:val="24"/>
        </w:rPr>
        <w:t xml:space="preserve">, ul. Tadeusza Kościuszki 33 oraz ul. Samorządowej 1 A,B,C (w klatce B)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mistrza Miasta Chojnowa z dnia 13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2023 r.</w:t>
      </w:r>
    </w:p>
    <w:p w:rsidR="00287627" w:rsidRPr="002F3BD5" w:rsidRDefault="00287627" w:rsidP="00287627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8.07.2023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287627" w:rsidRDefault="00287627" w:rsidP="00287627">
      <w:pPr>
        <w:tabs>
          <w:tab w:val="left" w:pos="9072"/>
        </w:tabs>
        <w:spacing w:after="0" w:line="120" w:lineRule="atLeast"/>
        <w:ind w:right="-567"/>
        <w:jc w:val="both"/>
      </w:pPr>
    </w:p>
    <w:p w:rsidR="00287627" w:rsidRPr="008C18FB" w:rsidRDefault="00287627" w:rsidP="00287627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984180" w:rsidRDefault="00984180"/>
    <w:sectPr w:rsidR="00984180" w:rsidSect="00287627">
      <w:pgSz w:w="11907" w:h="16839" w:code="9"/>
      <w:pgMar w:top="1134" w:right="1134" w:bottom="567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27"/>
    <w:rsid w:val="00287627"/>
    <w:rsid w:val="003639F9"/>
    <w:rsid w:val="00984180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2023-06-15T09:30:00Z</dcterms:created>
  <dcterms:modified xsi:type="dcterms:W3CDTF">2023-06-15T09:31:00Z</dcterms:modified>
</cp:coreProperties>
</file>